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6EE" w:rsidRPr="003D66EE" w:rsidRDefault="003D66EE" w:rsidP="003D66EE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r w:rsidRPr="003D66EE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Pr="003D66EE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86</w:t>
      </w:r>
      <w:r w:rsidRPr="003D66EE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Pr="003D66EE">
        <w:rPr>
          <w:rFonts w:ascii="Arial" w:hAnsi="Arial" w:cs="Arial"/>
          <w:b/>
          <w:bCs/>
          <w:noProof/>
          <w:sz w:val="24"/>
          <w:szCs w:val="24"/>
        </w:rPr>
        <w:t>R1-</w:t>
      </w:r>
      <w:r w:rsidR="00480FCD">
        <w:rPr>
          <w:rFonts w:ascii="Arial" w:hAnsi="Arial" w:cs="Arial"/>
          <w:b/>
          <w:bCs/>
          <w:noProof/>
          <w:sz w:val="24"/>
          <w:szCs w:val="24"/>
        </w:rPr>
        <w:t>166963</w:t>
      </w:r>
    </w:p>
    <w:p w:rsidR="003D66EE" w:rsidRPr="003D66EE" w:rsidRDefault="003D66EE" w:rsidP="003D66EE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noProof/>
          <w:sz w:val="24"/>
          <w:szCs w:val="24"/>
        </w:rPr>
      </w:pPr>
      <w:r w:rsidRPr="003D66EE">
        <w:rPr>
          <w:rFonts w:ascii="Arial" w:hAnsi="Arial" w:cs="Arial"/>
          <w:b/>
          <w:bCs/>
          <w:noProof/>
          <w:sz w:val="24"/>
          <w:szCs w:val="24"/>
        </w:rPr>
        <w:t>Gothenburg, Sweden, 22-26 August 2016</w:t>
      </w:r>
    </w:p>
    <w:p w:rsidR="004E71AA" w:rsidRPr="004E71AA" w:rsidRDefault="004E71AA" w:rsidP="004E71AA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4"/>
          <w:szCs w:val="24"/>
        </w:rPr>
      </w:pPr>
    </w:p>
    <w:p w:rsidR="00005DBD" w:rsidRPr="00226CA3" w:rsidRDefault="00005DBD" w:rsidP="00005DBD">
      <w:pPr>
        <w:pStyle w:val="TdocHeader2"/>
        <w:jc w:val="left"/>
        <w:rPr>
          <w:sz w:val="20"/>
          <w:lang w:val="en-US"/>
        </w:rPr>
      </w:pPr>
      <w:r w:rsidRPr="00226CA3">
        <w:rPr>
          <w:sz w:val="20"/>
          <w:lang w:val="en-US"/>
        </w:rPr>
        <w:t xml:space="preserve">Source: </w:t>
      </w:r>
      <w:r w:rsidRPr="00226CA3">
        <w:rPr>
          <w:sz w:val="20"/>
          <w:lang w:val="en-US"/>
        </w:rPr>
        <w:tab/>
        <w:t>Ericsson</w:t>
      </w:r>
    </w:p>
    <w:p w:rsidR="00005DBD" w:rsidRPr="00744368" w:rsidRDefault="00005DBD" w:rsidP="00005DBD">
      <w:pPr>
        <w:pStyle w:val="TdocHeader2"/>
        <w:jc w:val="left"/>
        <w:rPr>
          <w:sz w:val="20"/>
          <w:lang w:val="en-US"/>
        </w:rPr>
      </w:pPr>
      <w:r w:rsidRPr="00226CA3">
        <w:rPr>
          <w:sz w:val="20"/>
          <w:lang w:val="en-US"/>
        </w:rPr>
        <w:t>Title:</w:t>
      </w:r>
      <w:bookmarkStart w:id="2" w:name="Title"/>
      <w:bookmarkEnd w:id="2"/>
      <w:r w:rsidRPr="00226CA3">
        <w:rPr>
          <w:sz w:val="20"/>
          <w:lang w:val="en-US"/>
        </w:rPr>
        <w:tab/>
      </w:r>
      <w:r w:rsidR="006F0E0F">
        <w:rPr>
          <w:sz w:val="20"/>
          <w:lang w:val="en-US"/>
        </w:rPr>
        <w:t>On the orthogonality of SA and data pools</w:t>
      </w:r>
    </w:p>
    <w:p w:rsidR="00005DBD" w:rsidRPr="00744368" w:rsidRDefault="00005DBD" w:rsidP="00005DBD">
      <w:pPr>
        <w:pStyle w:val="TdocHeader2"/>
        <w:jc w:val="left"/>
        <w:rPr>
          <w:sz w:val="20"/>
          <w:lang w:val="en-US"/>
        </w:rPr>
      </w:pPr>
      <w:r w:rsidRPr="00744368">
        <w:rPr>
          <w:sz w:val="20"/>
          <w:lang w:val="en-US"/>
        </w:rPr>
        <w:t>Agenda Item:</w:t>
      </w:r>
      <w:r w:rsidRPr="00744368">
        <w:rPr>
          <w:sz w:val="20"/>
          <w:lang w:val="en-US"/>
        </w:rPr>
        <w:tab/>
      </w:r>
      <w:r w:rsidR="00600604">
        <w:rPr>
          <w:sz w:val="20"/>
          <w:lang w:val="en-US"/>
        </w:rPr>
        <w:t>7.2.2.3</w:t>
      </w:r>
    </w:p>
    <w:p w:rsidR="00005DBD" w:rsidRPr="007F1723" w:rsidRDefault="00005DBD" w:rsidP="00005DBD">
      <w:pPr>
        <w:pStyle w:val="TdocHeader2"/>
        <w:jc w:val="left"/>
        <w:rPr>
          <w:sz w:val="20"/>
          <w:lang w:val="en-US"/>
        </w:rPr>
      </w:pPr>
      <w:r w:rsidRPr="00744368">
        <w:rPr>
          <w:sz w:val="20"/>
          <w:lang w:val="en-US"/>
        </w:rPr>
        <w:t>Document for:</w:t>
      </w:r>
      <w:r w:rsidRPr="00744368">
        <w:rPr>
          <w:sz w:val="20"/>
          <w:lang w:val="en-US"/>
        </w:rPr>
        <w:tab/>
        <w:t>Discussion and Decision</w:t>
      </w:r>
    </w:p>
    <w:p w:rsidR="00D77223" w:rsidRDefault="00D77223" w:rsidP="008A63F4">
      <w:pPr>
        <w:pStyle w:val="Heading1"/>
      </w:pPr>
      <w:bookmarkStart w:id="3" w:name="_Ref456782087"/>
      <w:bookmarkEnd w:id="0"/>
      <w:bookmarkEnd w:id="1"/>
      <w:r w:rsidRPr="007F1723">
        <w:t>Introduction</w:t>
      </w:r>
      <w:bookmarkEnd w:id="3"/>
    </w:p>
    <w:p w:rsidR="00182C47" w:rsidRDefault="00182C47" w:rsidP="005360AD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In RAN1 #84bis the following agreements were reached on the resource pool aspect:</w:t>
      </w:r>
    </w:p>
    <w:p w:rsidR="00182C47" w:rsidRPr="00182C47" w:rsidRDefault="00182C47" w:rsidP="00182C47">
      <w:pPr>
        <w:overflowPunct w:val="0"/>
        <w:adjustRightInd w:val="0"/>
        <w:textAlignment w:val="baseline"/>
        <w:rPr>
          <w:rFonts w:eastAsia="MS Mincho"/>
          <w:i/>
          <w:lang w:eastAsia="ja-JP"/>
        </w:rPr>
      </w:pPr>
      <w:r w:rsidRPr="00182C47">
        <w:rPr>
          <w:rFonts w:eastAsia="MS Mincho"/>
          <w:i/>
          <w:highlight w:val="green"/>
          <w:lang w:eastAsia="ja-JP"/>
        </w:rPr>
        <w:t>Agreement</w:t>
      </w:r>
      <w:r w:rsidRPr="00182C47">
        <w:rPr>
          <w:rFonts w:eastAsia="Malgun Gothic" w:hint="eastAsia"/>
          <w:i/>
          <w:highlight w:val="green"/>
        </w:rPr>
        <w:t xml:space="preserve"> in RAN1 #84bis</w:t>
      </w:r>
      <w:r w:rsidRPr="00182C47">
        <w:rPr>
          <w:rFonts w:eastAsia="MS Mincho"/>
          <w:i/>
          <w:highlight w:val="green"/>
          <w:lang w:eastAsia="ja-JP"/>
        </w:rPr>
        <w:t>:</w:t>
      </w:r>
    </w:p>
    <w:p w:rsidR="00182C47" w:rsidRPr="00182C47" w:rsidRDefault="00182C47" w:rsidP="005F0F0A">
      <w:pPr>
        <w:numPr>
          <w:ilvl w:val="0"/>
          <w:numId w:val="11"/>
        </w:numPr>
        <w:overflowPunct w:val="0"/>
        <w:autoSpaceDE w:val="0"/>
        <w:autoSpaceDN w:val="0"/>
        <w:adjustRightInd w:val="0"/>
        <w:snapToGrid w:val="0"/>
        <w:spacing w:before="100" w:beforeAutospacing="1" w:after="100" w:afterAutospacing="1"/>
        <w:textAlignment w:val="baseline"/>
        <w:rPr>
          <w:i/>
        </w:rPr>
      </w:pPr>
      <w:r w:rsidRPr="00182C47">
        <w:rPr>
          <w:rFonts w:hint="eastAsia"/>
          <w:i/>
        </w:rPr>
        <w:t xml:space="preserve">When SA and the associated data are transmitted in the same TTI, they can be </w:t>
      </w:r>
      <w:r w:rsidRPr="00182C47">
        <w:rPr>
          <w:i/>
        </w:rPr>
        <w:t>transmitted</w:t>
      </w:r>
      <w:r w:rsidRPr="00182C47">
        <w:rPr>
          <w:rFonts w:hint="eastAsia"/>
          <w:i/>
        </w:rPr>
        <w:t xml:space="preserve"> in non-adjacent RBs.</w:t>
      </w:r>
    </w:p>
    <w:p w:rsidR="00182C47" w:rsidRPr="00182C47" w:rsidRDefault="00182C47" w:rsidP="00182C47">
      <w:pPr>
        <w:overflowPunct w:val="0"/>
        <w:adjustRightInd w:val="0"/>
        <w:textAlignment w:val="baseline"/>
        <w:rPr>
          <w:rFonts w:eastAsia="Malgun Gothic"/>
          <w:i/>
          <w:highlight w:val="darkYellow"/>
          <w:lang w:eastAsia="ja-JP"/>
        </w:rPr>
      </w:pPr>
      <w:r w:rsidRPr="00182C47">
        <w:rPr>
          <w:rFonts w:eastAsia="Malgun Gothic"/>
          <w:i/>
          <w:highlight w:val="darkYellow"/>
          <w:lang w:eastAsia="ja-JP"/>
        </w:rPr>
        <w:t>Working assumption</w:t>
      </w:r>
      <w:r w:rsidRPr="00182C47">
        <w:rPr>
          <w:rFonts w:eastAsia="Malgun Gothic" w:hint="eastAsia"/>
          <w:i/>
          <w:highlight w:val="darkYellow"/>
        </w:rPr>
        <w:t xml:space="preserve"> in RAN1 #84bis</w:t>
      </w:r>
      <w:r w:rsidRPr="00182C47">
        <w:rPr>
          <w:rFonts w:eastAsia="Malgun Gothic"/>
          <w:i/>
          <w:highlight w:val="darkYellow"/>
          <w:lang w:eastAsia="ja-JP"/>
        </w:rPr>
        <w:t xml:space="preserve">: </w:t>
      </w:r>
    </w:p>
    <w:p w:rsidR="00182C47" w:rsidRPr="00182C47" w:rsidRDefault="00182C47" w:rsidP="005F0F0A">
      <w:pPr>
        <w:numPr>
          <w:ilvl w:val="0"/>
          <w:numId w:val="11"/>
        </w:numPr>
        <w:overflowPunct w:val="0"/>
        <w:adjustRightInd w:val="0"/>
        <w:textAlignment w:val="baseline"/>
        <w:rPr>
          <w:rFonts w:eastAsia="Malgun Gothic"/>
          <w:i/>
          <w:lang w:eastAsia="ja-JP"/>
        </w:rPr>
      </w:pPr>
      <w:r w:rsidRPr="00182C47">
        <w:rPr>
          <w:rFonts w:eastAsia="Malgun Gothic" w:hint="eastAsia"/>
          <w:i/>
          <w:lang w:eastAsia="ja-JP"/>
        </w:rPr>
        <w:t xml:space="preserve">In V2V, SA resource and data resource are always </w:t>
      </w:r>
      <w:proofErr w:type="spellStart"/>
      <w:r w:rsidRPr="00182C47">
        <w:rPr>
          <w:rFonts w:eastAsia="Malgun Gothic" w:hint="eastAsia"/>
          <w:i/>
          <w:lang w:eastAsia="ja-JP"/>
        </w:rPr>
        <w:t>FDMed</w:t>
      </w:r>
      <w:proofErr w:type="spellEnd"/>
      <w:r w:rsidRPr="00182C47">
        <w:rPr>
          <w:rFonts w:eastAsia="Malgun Gothic"/>
          <w:i/>
          <w:lang w:eastAsia="ja-JP"/>
        </w:rPr>
        <w:t xml:space="preserve"> from system perspective</w:t>
      </w:r>
    </w:p>
    <w:p w:rsidR="00182C47" w:rsidRPr="008A36C3" w:rsidRDefault="00182C47" w:rsidP="005F0F0A">
      <w:pPr>
        <w:numPr>
          <w:ilvl w:val="1"/>
          <w:numId w:val="11"/>
        </w:numPr>
        <w:overflowPunct w:val="0"/>
        <w:adjustRightInd w:val="0"/>
        <w:textAlignment w:val="baseline"/>
        <w:rPr>
          <w:rFonts w:eastAsia="Malgun Gothic"/>
          <w:lang w:eastAsia="ja-JP"/>
        </w:rPr>
      </w:pPr>
      <w:r w:rsidRPr="00182C47">
        <w:rPr>
          <w:rFonts w:eastAsia="Malgun Gothic"/>
          <w:i/>
          <w:lang w:eastAsia="ja-JP"/>
        </w:rPr>
        <w:t>If significant issues are found, can consider further supporting TDM</w:t>
      </w:r>
    </w:p>
    <w:p w:rsidR="00182C47" w:rsidRPr="00182C47" w:rsidRDefault="00182C47" w:rsidP="00182C47">
      <w:pPr>
        <w:adjustRightInd w:val="0"/>
        <w:snapToGrid w:val="0"/>
        <w:spacing w:before="100" w:beforeAutospacing="1" w:after="100" w:afterAutospacing="1"/>
        <w:rPr>
          <w:i/>
        </w:rPr>
      </w:pPr>
      <w:r w:rsidRPr="00182C47">
        <w:rPr>
          <w:i/>
          <w:highlight w:val="green"/>
        </w:rPr>
        <w:t>Agreement</w:t>
      </w:r>
      <w:r w:rsidRPr="00182C47">
        <w:rPr>
          <w:rFonts w:hint="eastAsia"/>
          <w:i/>
          <w:highlight w:val="green"/>
        </w:rPr>
        <w:t xml:space="preserve"> in RAN1 #84bis</w:t>
      </w:r>
      <w:r w:rsidRPr="00182C47">
        <w:rPr>
          <w:i/>
          <w:highlight w:val="green"/>
        </w:rPr>
        <w:t>:</w:t>
      </w:r>
    </w:p>
    <w:p w:rsidR="00182C47" w:rsidRPr="00182C47" w:rsidRDefault="00182C47" w:rsidP="005F0F0A">
      <w:pPr>
        <w:numPr>
          <w:ilvl w:val="0"/>
          <w:numId w:val="12"/>
        </w:numPr>
        <w:overflowPunct w:val="0"/>
        <w:autoSpaceDE w:val="0"/>
        <w:autoSpaceDN w:val="0"/>
        <w:adjustRightInd w:val="0"/>
        <w:snapToGrid w:val="0"/>
        <w:spacing w:before="100" w:beforeAutospacing="1" w:after="100" w:afterAutospacing="1"/>
        <w:textAlignment w:val="baseline"/>
        <w:rPr>
          <w:i/>
        </w:rPr>
      </w:pPr>
      <w:r w:rsidRPr="00182C47">
        <w:rPr>
          <w:rFonts w:hint="eastAsia"/>
          <w:i/>
        </w:rPr>
        <w:t>A data pool is always associated with an SA pool.</w:t>
      </w:r>
    </w:p>
    <w:p w:rsidR="00182C47" w:rsidRPr="00182C47" w:rsidRDefault="00182C47" w:rsidP="005F0F0A">
      <w:pPr>
        <w:numPr>
          <w:ilvl w:val="1"/>
          <w:numId w:val="12"/>
        </w:numPr>
        <w:overflowPunct w:val="0"/>
        <w:autoSpaceDE w:val="0"/>
        <w:autoSpaceDN w:val="0"/>
        <w:adjustRightInd w:val="0"/>
        <w:snapToGrid w:val="0"/>
        <w:spacing w:before="100" w:beforeAutospacing="1" w:after="100" w:afterAutospacing="1"/>
        <w:textAlignment w:val="baseline"/>
        <w:rPr>
          <w:i/>
        </w:rPr>
      </w:pPr>
      <w:r w:rsidRPr="00182C47">
        <w:rPr>
          <w:rFonts w:hint="eastAsia"/>
          <w:i/>
        </w:rPr>
        <w:t>An RB of an SA pool in a TTI cannot be included in the associated data pool.</w:t>
      </w:r>
    </w:p>
    <w:p w:rsidR="00182C47" w:rsidRPr="00182C47" w:rsidRDefault="00182C47" w:rsidP="005F0F0A">
      <w:pPr>
        <w:numPr>
          <w:ilvl w:val="1"/>
          <w:numId w:val="12"/>
        </w:numPr>
        <w:overflowPunct w:val="0"/>
        <w:autoSpaceDE w:val="0"/>
        <w:autoSpaceDN w:val="0"/>
        <w:adjustRightInd w:val="0"/>
        <w:snapToGrid w:val="0"/>
        <w:spacing w:before="100" w:beforeAutospacing="1" w:after="100" w:afterAutospacing="1"/>
        <w:textAlignment w:val="baseline"/>
        <w:rPr>
          <w:i/>
        </w:rPr>
      </w:pPr>
      <w:r w:rsidRPr="00182C47">
        <w:rPr>
          <w:rFonts w:hint="eastAsia"/>
          <w:i/>
        </w:rPr>
        <w:t>An RB of an SA pool in a TTI cannot be included in another SA pool (if exists).</w:t>
      </w:r>
    </w:p>
    <w:p w:rsidR="00182C47" w:rsidRPr="00182C47" w:rsidRDefault="00182C47" w:rsidP="005F0F0A">
      <w:pPr>
        <w:numPr>
          <w:ilvl w:val="1"/>
          <w:numId w:val="12"/>
        </w:numPr>
        <w:overflowPunct w:val="0"/>
        <w:autoSpaceDE w:val="0"/>
        <w:autoSpaceDN w:val="0"/>
        <w:adjustRightInd w:val="0"/>
        <w:snapToGrid w:val="0"/>
        <w:spacing w:before="100" w:beforeAutospacing="1" w:after="100" w:afterAutospacing="1"/>
        <w:textAlignment w:val="baseline"/>
        <w:rPr>
          <w:i/>
        </w:rPr>
      </w:pPr>
      <w:r w:rsidRPr="00182C47">
        <w:rPr>
          <w:rFonts w:hint="eastAsia"/>
          <w:i/>
          <w:highlight w:val="darkYellow"/>
        </w:rPr>
        <w:t>Working assumption</w:t>
      </w:r>
      <w:r w:rsidRPr="00182C47">
        <w:rPr>
          <w:rFonts w:hint="eastAsia"/>
          <w:i/>
        </w:rPr>
        <w:t>: At least an RB of a data pool in a TTI can be included in another data pool (if exists).</w:t>
      </w:r>
    </w:p>
    <w:p w:rsidR="00182C47" w:rsidRPr="00182C47" w:rsidRDefault="00182C47" w:rsidP="005F0F0A">
      <w:pPr>
        <w:numPr>
          <w:ilvl w:val="1"/>
          <w:numId w:val="12"/>
        </w:numPr>
        <w:overflowPunct w:val="0"/>
        <w:autoSpaceDE w:val="0"/>
        <w:autoSpaceDN w:val="0"/>
        <w:adjustRightInd w:val="0"/>
        <w:snapToGrid w:val="0"/>
        <w:spacing w:before="100" w:beforeAutospacing="1" w:after="100" w:afterAutospacing="1"/>
        <w:textAlignment w:val="baseline"/>
        <w:rPr>
          <w:i/>
        </w:rPr>
      </w:pPr>
      <w:r w:rsidRPr="00182C47">
        <w:rPr>
          <w:rFonts w:hint="eastAsia"/>
          <w:i/>
        </w:rPr>
        <w:t>An RB of an SA pool in a TTI cannot be included</w:t>
      </w:r>
      <w:r w:rsidRPr="00182C47">
        <w:rPr>
          <w:i/>
        </w:rPr>
        <w:t xml:space="preserve"> an un-associated data pool (if exists)</w:t>
      </w:r>
    </w:p>
    <w:p w:rsidR="00335A3F" w:rsidRPr="0074575F" w:rsidRDefault="00600604" w:rsidP="005360AD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And i</w:t>
      </w:r>
      <w:r w:rsidR="00DE4F23" w:rsidRPr="0074575F">
        <w:rPr>
          <w:sz w:val="20"/>
          <w:szCs w:val="20"/>
        </w:rPr>
        <w:t xml:space="preserve">n </w:t>
      </w:r>
      <w:r w:rsidR="00335A3F" w:rsidRPr="0074575F">
        <w:rPr>
          <w:sz w:val="20"/>
          <w:szCs w:val="20"/>
        </w:rPr>
        <w:t>RAN1 #</w:t>
      </w:r>
      <w:r w:rsidR="003D66EE" w:rsidRPr="0074575F">
        <w:rPr>
          <w:sz w:val="20"/>
          <w:szCs w:val="20"/>
        </w:rPr>
        <w:t>8</w:t>
      </w:r>
      <w:r w:rsidR="003D66EE">
        <w:rPr>
          <w:sz w:val="20"/>
          <w:szCs w:val="20"/>
        </w:rPr>
        <w:t>5</w:t>
      </w:r>
      <w:r w:rsidR="003D66EE" w:rsidRPr="0074575F">
        <w:rPr>
          <w:sz w:val="20"/>
          <w:szCs w:val="20"/>
        </w:rPr>
        <w:t xml:space="preserve"> </w:t>
      </w:r>
      <w:r w:rsidR="00DE4F23" w:rsidRPr="0074575F">
        <w:rPr>
          <w:sz w:val="20"/>
          <w:szCs w:val="20"/>
        </w:rPr>
        <w:t>it was agreed that:</w:t>
      </w:r>
    </w:p>
    <w:p w:rsidR="003D66EE" w:rsidRPr="003D66EE" w:rsidRDefault="003D66EE" w:rsidP="003D66EE">
      <w:pPr>
        <w:rPr>
          <w:rFonts w:eastAsia="Malgun Gothic"/>
          <w:b/>
          <w:i/>
          <w:iCs/>
          <w:u w:val="single"/>
        </w:rPr>
      </w:pPr>
      <w:r w:rsidRPr="003D66EE">
        <w:rPr>
          <w:rFonts w:eastAsia="Malgun Gothic" w:hint="eastAsia"/>
          <w:i/>
          <w:iCs/>
          <w:highlight w:val="green"/>
          <w:u w:val="single"/>
        </w:rPr>
        <w:t>Agreements:</w:t>
      </w:r>
    </w:p>
    <w:p w:rsidR="003D66EE" w:rsidRPr="003D66EE" w:rsidRDefault="003D66EE" w:rsidP="005F0F0A">
      <w:pPr>
        <w:numPr>
          <w:ilvl w:val="0"/>
          <w:numId w:val="10"/>
        </w:numPr>
        <w:spacing w:after="0"/>
        <w:rPr>
          <w:rFonts w:eastAsia="Malgun Gothic"/>
          <w:i/>
          <w:iCs/>
        </w:rPr>
      </w:pPr>
      <w:r w:rsidRPr="003D66EE">
        <w:rPr>
          <w:rFonts w:eastAsia="Malgun Gothic"/>
          <w:i/>
          <w:iCs/>
        </w:rPr>
        <w:t xml:space="preserve">Allow resource pool definition where SA and associated Data transmitted on the same </w:t>
      </w:r>
      <w:proofErr w:type="spellStart"/>
      <w:r w:rsidRPr="003D66EE">
        <w:rPr>
          <w:rFonts w:eastAsia="Malgun Gothic"/>
          <w:i/>
          <w:iCs/>
        </w:rPr>
        <w:t>subframe</w:t>
      </w:r>
      <w:proofErr w:type="spellEnd"/>
      <w:r w:rsidRPr="003D66EE">
        <w:rPr>
          <w:rFonts w:eastAsia="Malgun Gothic"/>
          <w:i/>
          <w:iCs/>
        </w:rPr>
        <w:t xml:space="preserve"> are always adjacent in frequency</w:t>
      </w:r>
    </w:p>
    <w:p w:rsidR="003D66EE" w:rsidRPr="003D66EE" w:rsidRDefault="003D66EE" w:rsidP="005F0F0A">
      <w:pPr>
        <w:numPr>
          <w:ilvl w:val="1"/>
          <w:numId w:val="10"/>
        </w:numPr>
        <w:spacing w:after="0"/>
        <w:rPr>
          <w:rFonts w:eastAsia="Malgun Gothic"/>
          <w:i/>
          <w:iCs/>
        </w:rPr>
      </w:pPr>
      <w:r w:rsidRPr="003D66EE">
        <w:rPr>
          <w:rFonts w:eastAsia="Malgun Gothic" w:hint="eastAsia"/>
          <w:i/>
          <w:iCs/>
        </w:rPr>
        <w:t>All the PRBs used for the SA and associated data transmissions should be contiguous in frequency.</w:t>
      </w:r>
    </w:p>
    <w:p w:rsidR="003D66EE" w:rsidRPr="003D66EE" w:rsidRDefault="003D66EE" w:rsidP="005F0F0A">
      <w:pPr>
        <w:numPr>
          <w:ilvl w:val="1"/>
          <w:numId w:val="10"/>
        </w:numPr>
        <w:spacing w:after="0"/>
        <w:rPr>
          <w:rFonts w:eastAsia="Malgun Gothic"/>
          <w:i/>
          <w:iCs/>
        </w:rPr>
      </w:pPr>
      <w:r w:rsidRPr="003D66EE">
        <w:rPr>
          <w:rFonts w:eastAsia="Malgun Gothic"/>
          <w:i/>
          <w:iCs/>
        </w:rPr>
        <w:t>Details FFS</w:t>
      </w:r>
    </w:p>
    <w:p w:rsidR="003D66EE" w:rsidRPr="003D66EE" w:rsidRDefault="003D66EE" w:rsidP="005F0F0A">
      <w:pPr>
        <w:numPr>
          <w:ilvl w:val="0"/>
          <w:numId w:val="10"/>
        </w:numPr>
        <w:spacing w:after="0"/>
        <w:rPr>
          <w:rFonts w:eastAsia="Malgun Gothic"/>
          <w:i/>
          <w:iCs/>
        </w:rPr>
      </w:pPr>
      <w:r w:rsidRPr="003D66EE">
        <w:rPr>
          <w:rFonts w:eastAsia="Malgun Gothic"/>
          <w:i/>
          <w:iCs/>
        </w:rPr>
        <w:t xml:space="preserve">For a SA and associated data resource pool it should be </w:t>
      </w:r>
      <w:r w:rsidRPr="003D66EE">
        <w:rPr>
          <w:rFonts w:eastAsia="Malgun Gothic" w:hint="eastAsia"/>
          <w:i/>
          <w:iCs/>
        </w:rPr>
        <w:t>(pre)</w:t>
      </w:r>
      <w:r w:rsidRPr="003D66EE">
        <w:rPr>
          <w:rFonts w:eastAsia="Malgun Gothic"/>
          <w:i/>
          <w:iCs/>
        </w:rPr>
        <w:t xml:space="preserve">configured whether the SA and associated data transmission by </w:t>
      </w:r>
      <w:r w:rsidRPr="003D66EE">
        <w:rPr>
          <w:rFonts w:eastAsia="Malgun Gothic" w:hint="eastAsia"/>
          <w:i/>
          <w:iCs/>
        </w:rPr>
        <w:t>all the</w:t>
      </w:r>
      <w:r w:rsidRPr="003D66EE">
        <w:rPr>
          <w:rFonts w:eastAsia="Malgun Gothic"/>
          <w:i/>
          <w:iCs/>
        </w:rPr>
        <w:t xml:space="preserve"> UE</w:t>
      </w:r>
      <w:r w:rsidRPr="003D66EE">
        <w:rPr>
          <w:rFonts w:eastAsia="Malgun Gothic" w:hint="eastAsia"/>
          <w:i/>
          <w:iCs/>
        </w:rPr>
        <w:t>s</w:t>
      </w:r>
      <w:r w:rsidRPr="003D66EE">
        <w:rPr>
          <w:rFonts w:eastAsia="Malgun Gothic"/>
          <w:i/>
          <w:iCs/>
        </w:rPr>
        <w:t xml:space="preserve"> </w:t>
      </w:r>
      <w:r w:rsidRPr="003D66EE">
        <w:rPr>
          <w:rFonts w:eastAsia="Malgun Gothic" w:hint="eastAsia"/>
          <w:i/>
          <w:iCs/>
        </w:rPr>
        <w:t xml:space="preserve">using this pool </w:t>
      </w:r>
      <w:r w:rsidRPr="003D66EE">
        <w:rPr>
          <w:rFonts w:eastAsia="Malgun Gothic"/>
          <w:i/>
          <w:iCs/>
        </w:rPr>
        <w:t xml:space="preserve">either occur on the same </w:t>
      </w:r>
      <w:proofErr w:type="spellStart"/>
      <w:r w:rsidRPr="003D66EE">
        <w:rPr>
          <w:rFonts w:eastAsia="Malgun Gothic"/>
          <w:i/>
          <w:iCs/>
        </w:rPr>
        <w:t>subframe</w:t>
      </w:r>
      <w:proofErr w:type="spellEnd"/>
      <w:r w:rsidRPr="003D66EE">
        <w:rPr>
          <w:rFonts w:eastAsia="Malgun Gothic"/>
          <w:i/>
          <w:iCs/>
        </w:rPr>
        <w:t xml:space="preserve"> in an adjacent manner, or occur on different </w:t>
      </w:r>
      <w:proofErr w:type="spellStart"/>
      <w:r w:rsidRPr="003D66EE">
        <w:rPr>
          <w:rFonts w:eastAsia="Malgun Gothic"/>
          <w:i/>
          <w:iCs/>
        </w:rPr>
        <w:t>subframes</w:t>
      </w:r>
      <w:proofErr w:type="spellEnd"/>
      <w:r w:rsidRPr="003D66EE">
        <w:rPr>
          <w:rFonts w:eastAsia="Malgun Gothic" w:hint="eastAsia"/>
          <w:i/>
          <w:iCs/>
        </w:rPr>
        <w:t xml:space="preserve">, (FFS </w:t>
      </w:r>
      <w:r w:rsidRPr="003D66EE">
        <w:rPr>
          <w:rFonts w:eastAsia="Malgun Gothic"/>
          <w:i/>
          <w:iCs/>
        </w:rPr>
        <w:t>or</w:t>
      </w:r>
      <w:r w:rsidRPr="003D66EE">
        <w:rPr>
          <w:rFonts w:eastAsia="Malgun Gothic" w:hint="eastAsia"/>
          <w:i/>
          <w:iCs/>
        </w:rPr>
        <w:t xml:space="preserve"> </w:t>
      </w:r>
      <w:r w:rsidRPr="003D66EE">
        <w:rPr>
          <w:rFonts w:eastAsia="Malgun Gothic"/>
          <w:i/>
          <w:iCs/>
        </w:rPr>
        <w:t xml:space="preserve">occur on the same </w:t>
      </w:r>
      <w:proofErr w:type="spellStart"/>
      <w:r w:rsidRPr="003D66EE">
        <w:rPr>
          <w:rFonts w:eastAsia="Malgun Gothic"/>
          <w:i/>
          <w:iCs/>
        </w:rPr>
        <w:t>subframe</w:t>
      </w:r>
      <w:proofErr w:type="spellEnd"/>
      <w:r w:rsidRPr="003D66EE">
        <w:rPr>
          <w:rFonts w:eastAsia="Malgun Gothic"/>
          <w:i/>
          <w:iCs/>
        </w:rPr>
        <w:t xml:space="preserve"> in a </w:t>
      </w:r>
      <w:r w:rsidRPr="003D66EE">
        <w:rPr>
          <w:rFonts w:eastAsia="Malgun Gothic" w:hint="eastAsia"/>
          <w:i/>
          <w:iCs/>
        </w:rPr>
        <w:t xml:space="preserve">potentially </w:t>
      </w:r>
      <w:r w:rsidRPr="003D66EE">
        <w:rPr>
          <w:rFonts w:eastAsia="Malgun Gothic"/>
          <w:i/>
          <w:iCs/>
        </w:rPr>
        <w:t>non-adjacent manner</w:t>
      </w:r>
      <w:r w:rsidRPr="003D66EE">
        <w:rPr>
          <w:rFonts w:eastAsia="Malgun Gothic" w:hint="eastAsia"/>
          <w:i/>
          <w:iCs/>
        </w:rPr>
        <w:t>)</w:t>
      </w:r>
      <w:r w:rsidRPr="003D66EE">
        <w:rPr>
          <w:rFonts w:eastAsia="Malgun Gothic"/>
          <w:i/>
          <w:iCs/>
        </w:rPr>
        <w:t>.</w:t>
      </w:r>
    </w:p>
    <w:p w:rsidR="003D66EE" w:rsidRPr="003D66EE" w:rsidRDefault="003D66EE" w:rsidP="005F0F0A">
      <w:pPr>
        <w:numPr>
          <w:ilvl w:val="1"/>
          <w:numId w:val="10"/>
        </w:numPr>
        <w:spacing w:after="0"/>
        <w:rPr>
          <w:rFonts w:eastAsia="Malgun Gothic"/>
          <w:i/>
          <w:iCs/>
        </w:rPr>
      </w:pPr>
      <w:r w:rsidRPr="003D66EE">
        <w:rPr>
          <w:rFonts w:eastAsia="Malgun Gothic" w:hint="eastAsia"/>
          <w:i/>
          <w:iCs/>
        </w:rPr>
        <w:t xml:space="preserve">If the FFS part is not supported, this reverts the existing agreement </w:t>
      </w:r>
      <w:r w:rsidRPr="003D66EE">
        <w:rPr>
          <w:rFonts w:eastAsia="Malgun Gothic"/>
          <w:i/>
          <w:iCs/>
        </w:rPr>
        <w:t>“</w:t>
      </w:r>
      <w:r w:rsidRPr="003D66EE">
        <w:rPr>
          <w:rFonts w:hint="eastAsia"/>
          <w:i/>
        </w:rPr>
        <w:t xml:space="preserve">When SA and the associated data are transmitted in the same TTI, they can be </w:t>
      </w:r>
      <w:r w:rsidRPr="003D66EE">
        <w:rPr>
          <w:i/>
        </w:rPr>
        <w:t>transmitted</w:t>
      </w:r>
      <w:r w:rsidRPr="003D66EE">
        <w:rPr>
          <w:rFonts w:hint="eastAsia"/>
          <w:i/>
        </w:rPr>
        <w:t xml:space="preserve"> in non-adjacent RBs.</w:t>
      </w:r>
      <w:r w:rsidRPr="003D66EE">
        <w:rPr>
          <w:rFonts w:eastAsia="Malgun Gothic"/>
          <w:i/>
          <w:iCs/>
        </w:rPr>
        <w:t>”</w:t>
      </w:r>
    </w:p>
    <w:p w:rsidR="00D61E7D" w:rsidRPr="003D66EE" w:rsidRDefault="003D66EE" w:rsidP="005F0F0A">
      <w:pPr>
        <w:numPr>
          <w:ilvl w:val="1"/>
          <w:numId w:val="10"/>
        </w:numPr>
        <w:spacing w:after="0"/>
        <w:jc w:val="both"/>
        <w:rPr>
          <w:rFonts w:eastAsia="Malgun Gothic"/>
          <w:i/>
          <w:iCs/>
        </w:rPr>
      </w:pPr>
      <w:r w:rsidRPr="003D66EE">
        <w:rPr>
          <w:rFonts w:eastAsia="Malgun Gothic" w:hint="eastAsia"/>
          <w:i/>
          <w:iCs/>
        </w:rPr>
        <w:t xml:space="preserve">Strive for not </w:t>
      </w:r>
      <w:r w:rsidRPr="003D66EE">
        <w:rPr>
          <w:rFonts w:eastAsia="Malgun Gothic"/>
          <w:i/>
          <w:iCs/>
        </w:rPr>
        <w:t>increasing</w:t>
      </w:r>
      <w:r w:rsidRPr="003D66EE">
        <w:rPr>
          <w:rFonts w:eastAsia="Malgun Gothic" w:hint="eastAsia"/>
          <w:i/>
          <w:iCs/>
        </w:rPr>
        <w:t xml:space="preserve"> the number of SA blind decoding to enable this.</w:t>
      </w:r>
    </w:p>
    <w:p w:rsidR="00182C47" w:rsidRDefault="00182C47" w:rsidP="003D66EE">
      <w:pPr>
        <w:spacing w:after="0"/>
        <w:jc w:val="both"/>
        <w:rPr>
          <w:rFonts w:cs="Times"/>
        </w:rPr>
      </w:pPr>
    </w:p>
    <w:p w:rsidR="003D66EE" w:rsidRDefault="00182C47" w:rsidP="003D66EE">
      <w:pPr>
        <w:spacing w:after="0"/>
        <w:jc w:val="both"/>
        <w:rPr>
          <w:rFonts w:cs="Times"/>
        </w:rPr>
      </w:pPr>
      <w:r>
        <w:rPr>
          <w:rFonts w:cs="Times"/>
        </w:rPr>
        <w:t>In this paper we discuss the issues related to the above agreements.</w:t>
      </w:r>
    </w:p>
    <w:p w:rsidR="001C33A7" w:rsidRDefault="00132828" w:rsidP="001C33A7">
      <w:pPr>
        <w:pStyle w:val="Heading1"/>
      </w:pPr>
      <w:r>
        <w:t>Pool definition for PSCCH/PSSCH</w:t>
      </w:r>
    </w:p>
    <w:p w:rsidR="00EE62F6" w:rsidRDefault="008C400C" w:rsidP="00A1738B">
      <w:pPr>
        <w:spacing w:after="0"/>
        <w:jc w:val="both"/>
        <w:rPr>
          <w:rFonts w:eastAsia="Malgun Gothic"/>
          <w:iCs/>
        </w:rPr>
      </w:pPr>
      <w:r>
        <w:t xml:space="preserve">As recapped in Section </w:t>
      </w:r>
      <w:r>
        <w:fldChar w:fldCharType="begin"/>
      </w:r>
      <w:r>
        <w:instrText xml:space="preserve"> REF _Ref456782087 \r \h </w:instrText>
      </w:r>
      <w:r>
        <w:fldChar w:fldCharType="separate"/>
      </w:r>
      <w:r>
        <w:t>1</w:t>
      </w:r>
      <w:r>
        <w:fldChar w:fldCharType="end"/>
      </w:r>
      <w:r>
        <w:t xml:space="preserve">, </w:t>
      </w:r>
      <w:r w:rsidR="005546CF" w:rsidRPr="005546CF">
        <w:t xml:space="preserve">the agreement </w:t>
      </w:r>
      <w:r w:rsidR="005546CF">
        <w:t xml:space="preserve">in RAN1 #84bis requires the SA and data pools to be orthogonal (i.e., taking disjoint resources). </w:t>
      </w:r>
      <w:r w:rsidR="007413D6">
        <w:t xml:space="preserve">However, this requirement may cause some issues as illustrated in </w:t>
      </w:r>
      <w:r w:rsidR="00A1738B">
        <w:t xml:space="preserve">the left part of </w:t>
      </w:r>
      <w:r w:rsidR="007413D6" w:rsidRPr="007413D6">
        <w:fldChar w:fldCharType="begin"/>
      </w:r>
      <w:r w:rsidR="007413D6" w:rsidRPr="007413D6">
        <w:instrText xml:space="preserve"> REF _Ref456871027 \h </w:instrText>
      </w:r>
      <w:r w:rsidR="007413D6">
        <w:instrText xml:space="preserve"> \* MERGEFORMAT </w:instrText>
      </w:r>
      <w:r w:rsidR="007413D6" w:rsidRPr="007413D6">
        <w:fldChar w:fldCharType="separate"/>
      </w:r>
      <w:r w:rsidR="007413D6" w:rsidRPr="007413D6">
        <w:t xml:space="preserve">Figure </w:t>
      </w:r>
      <w:r w:rsidR="007413D6" w:rsidRPr="007413D6">
        <w:rPr>
          <w:noProof/>
        </w:rPr>
        <w:t>1</w:t>
      </w:r>
      <w:r w:rsidR="007413D6" w:rsidRPr="007413D6">
        <w:fldChar w:fldCharType="end"/>
      </w:r>
      <w:r w:rsidR="007413D6">
        <w:t xml:space="preserve"> below. In this example </w:t>
      </w:r>
      <w:r w:rsidR="00EE62F6">
        <w:t xml:space="preserve">a </w:t>
      </w:r>
      <w:r w:rsidR="007413D6">
        <w:t>wideband transmission</w:t>
      </w:r>
      <w:r w:rsidR="00EE62F6">
        <w:t xml:space="preserve"> of SA and associated data</w:t>
      </w:r>
      <w:r w:rsidR="007413D6">
        <w:t xml:space="preserve"> </w:t>
      </w:r>
      <w:r w:rsidR="00EE62F6">
        <w:t xml:space="preserve">in the same </w:t>
      </w:r>
      <w:proofErr w:type="spellStart"/>
      <w:r w:rsidR="00EE62F6">
        <w:t>subframe</w:t>
      </w:r>
      <w:proofErr w:type="spellEnd"/>
      <w:r w:rsidR="00EE62F6">
        <w:t xml:space="preserve"> needs to use non-adjacent RBs for the data </w:t>
      </w:r>
      <w:r w:rsidR="00A1738B">
        <w:t xml:space="preserve">part </w:t>
      </w:r>
      <w:r w:rsidR="00EE62F6">
        <w:t xml:space="preserve">because the resources in between </w:t>
      </w:r>
      <w:r w:rsidR="00A1738B">
        <w:t>belong</w:t>
      </w:r>
      <w:r w:rsidR="00EE62F6">
        <w:t xml:space="preserve"> to the SA pool</w:t>
      </w:r>
      <w:r w:rsidR="00A1738B">
        <w:t xml:space="preserve"> (hence should be exclusively used for SA)</w:t>
      </w:r>
      <w:r w:rsidR="00EE62F6">
        <w:t xml:space="preserve">. As a result, the PAPR of the transmission </w:t>
      </w:r>
      <w:r w:rsidR="00A1738B">
        <w:t>is</w:t>
      </w:r>
      <w:r w:rsidR="00EE62F6">
        <w:t xml:space="preserve"> high and the communication performance of the user </w:t>
      </w:r>
      <w:r w:rsidR="00A1738B">
        <w:t>can be severely</w:t>
      </w:r>
      <w:r w:rsidR="00EE62F6">
        <w:t xml:space="preserve"> degraded. Moreover, the orthogonali</w:t>
      </w:r>
      <w:r w:rsidR="00A1738B">
        <w:t xml:space="preserve">ty of the SA and data pools may </w:t>
      </w:r>
      <w:r w:rsidR="00EE62F6">
        <w:t>conflict with the agreement in RAN1 #85 which allows</w:t>
      </w:r>
      <w:r w:rsidR="00EE62F6" w:rsidRPr="003D66EE">
        <w:rPr>
          <w:rFonts w:eastAsia="Malgun Gothic"/>
          <w:i/>
          <w:iCs/>
        </w:rPr>
        <w:t xml:space="preserve"> </w:t>
      </w:r>
      <w:r w:rsidR="00EE62F6" w:rsidRPr="00EE62F6">
        <w:rPr>
          <w:rFonts w:eastAsia="Malgun Gothic"/>
          <w:iCs/>
        </w:rPr>
        <w:t xml:space="preserve">resource pool definition where SA and associated Data transmitted </w:t>
      </w:r>
      <w:r w:rsidR="00A1738B">
        <w:rPr>
          <w:rFonts w:eastAsia="Malgun Gothic"/>
          <w:iCs/>
        </w:rPr>
        <w:t>in</w:t>
      </w:r>
      <w:r w:rsidR="00EE62F6" w:rsidRPr="00EE62F6">
        <w:rPr>
          <w:rFonts w:eastAsia="Malgun Gothic"/>
          <w:iCs/>
        </w:rPr>
        <w:t xml:space="preserve"> the same </w:t>
      </w:r>
      <w:proofErr w:type="spellStart"/>
      <w:r w:rsidR="00EE62F6" w:rsidRPr="00EE62F6">
        <w:rPr>
          <w:rFonts w:eastAsia="Malgun Gothic"/>
          <w:iCs/>
        </w:rPr>
        <w:t>subframe</w:t>
      </w:r>
      <w:proofErr w:type="spellEnd"/>
      <w:r w:rsidR="00EE62F6" w:rsidRPr="00EE62F6">
        <w:rPr>
          <w:rFonts w:eastAsia="Malgun Gothic"/>
          <w:iCs/>
        </w:rPr>
        <w:t xml:space="preserve"> are always adjacent in </w:t>
      </w:r>
      <w:r w:rsidR="00EE62F6" w:rsidRPr="00A1738B">
        <w:rPr>
          <w:rFonts w:eastAsia="Malgun Gothic"/>
          <w:iCs/>
        </w:rPr>
        <w:t>frequency</w:t>
      </w:r>
      <w:r w:rsidR="00A1738B" w:rsidRPr="00A1738B">
        <w:rPr>
          <w:rFonts w:eastAsia="Malgun Gothic"/>
          <w:iCs/>
        </w:rPr>
        <w:t xml:space="preserve"> (a</w:t>
      </w:r>
      <w:r w:rsidR="00EE62F6" w:rsidRPr="00A1738B">
        <w:rPr>
          <w:rFonts w:eastAsia="Malgun Gothic" w:hint="eastAsia"/>
          <w:iCs/>
        </w:rPr>
        <w:t>ll the PRBs used for the SA and associated data transmissions should be contiguous in frequency.</w:t>
      </w:r>
      <w:r w:rsidR="00A1738B" w:rsidRPr="00A1738B">
        <w:rPr>
          <w:rFonts w:eastAsia="Malgun Gothic"/>
          <w:iCs/>
        </w:rPr>
        <w:t>)</w:t>
      </w:r>
    </w:p>
    <w:p w:rsidR="00A1738B" w:rsidRDefault="00A1738B" w:rsidP="00A1738B">
      <w:pPr>
        <w:spacing w:after="0"/>
        <w:jc w:val="both"/>
        <w:rPr>
          <w:rFonts w:eastAsia="Malgun Gothic"/>
          <w:iCs/>
        </w:rPr>
      </w:pPr>
    </w:p>
    <w:p w:rsidR="00256B77" w:rsidRDefault="00256B77" w:rsidP="00256B77">
      <w:pPr>
        <w:pStyle w:val="BodyText"/>
        <w:spacing w:after="240"/>
        <w:jc w:val="both"/>
        <w:rPr>
          <w:b/>
          <w:i/>
          <w:sz w:val="20"/>
          <w:szCs w:val="20"/>
        </w:rPr>
      </w:pPr>
    </w:p>
    <w:p w:rsidR="00256B77" w:rsidRDefault="00256B77" w:rsidP="00256B77">
      <w:pPr>
        <w:pStyle w:val="BodyText"/>
        <w:spacing w:after="240"/>
        <w:jc w:val="both"/>
        <w:rPr>
          <w:b/>
          <w:i/>
          <w:sz w:val="20"/>
          <w:szCs w:val="20"/>
        </w:rPr>
      </w:pPr>
    </w:p>
    <w:p w:rsidR="00A1738B" w:rsidRPr="00256B77" w:rsidRDefault="00A1738B" w:rsidP="00256B77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256B77">
        <w:rPr>
          <w:b/>
          <w:i/>
          <w:sz w:val="20"/>
          <w:szCs w:val="20"/>
        </w:rPr>
        <w:lastRenderedPageBreak/>
        <w:t>Observation</w:t>
      </w:r>
    </w:p>
    <w:p w:rsidR="00A1738B" w:rsidRPr="00256B77" w:rsidRDefault="00A1738B" w:rsidP="00256B77">
      <w:pPr>
        <w:pStyle w:val="BodyText"/>
        <w:numPr>
          <w:ilvl w:val="0"/>
          <w:numId w:val="9"/>
        </w:numPr>
        <w:jc w:val="both"/>
        <w:rPr>
          <w:b/>
          <w:i/>
          <w:sz w:val="20"/>
          <w:szCs w:val="20"/>
        </w:rPr>
      </w:pPr>
      <w:r w:rsidRPr="00256B77">
        <w:rPr>
          <w:b/>
          <w:i/>
          <w:sz w:val="20"/>
          <w:szCs w:val="20"/>
        </w:rPr>
        <w:t xml:space="preserve">RAN1 #84bis agreement on orthogonal SA and data pools can </w:t>
      </w:r>
      <w:r w:rsidR="00256B77">
        <w:rPr>
          <w:b/>
          <w:i/>
          <w:sz w:val="20"/>
          <w:szCs w:val="20"/>
        </w:rPr>
        <w:t xml:space="preserve">degrade the performance of </w:t>
      </w:r>
      <w:r w:rsidRPr="00256B77">
        <w:rPr>
          <w:b/>
          <w:i/>
          <w:sz w:val="20"/>
          <w:szCs w:val="20"/>
        </w:rPr>
        <w:t>wideband transmission</w:t>
      </w:r>
      <w:r w:rsidR="00256B77">
        <w:rPr>
          <w:b/>
          <w:i/>
          <w:sz w:val="20"/>
          <w:szCs w:val="20"/>
        </w:rPr>
        <w:t>s</w:t>
      </w:r>
      <w:r w:rsidRPr="00256B77">
        <w:rPr>
          <w:b/>
          <w:i/>
          <w:sz w:val="20"/>
          <w:szCs w:val="20"/>
        </w:rPr>
        <w:t xml:space="preserve"> and </w:t>
      </w:r>
      <w:r w:rsidR="00256B77">
        <w:rPr>
          <w:b/>
          <w:i/>
          <w:sz w:val="20"/>
          <w:szCs w:val="20"/>
        </w:rPr>
        <w:t>may</w:t>
      </w:r>
      <w:r w:rsidRPr="00256B77">
        <w:rPr>
          <w:b/>
          <w:i/>
          <w:sz w:val="20"/>
          <w:szCs w:val="20"/>
        </w:rPr>
        <w:t xml:space="preserve"> conflict with </w:t>
      </w:r>
      <w:r w:rsidR="00256B77" w:rsidRPr="00256B77">
        <w:rPr>
          <w:b/>
          <w:i/>
          <w:sz w:val="20"/>
          <w:szCs w:val="20"/>
        </w:rPr>
        <w:t xml:space="preserve">an </w:t>
      </w:r>
      <w:r w:rsidRPr="00256B77">
        <w:rPr>
          <w:b/>
          <w:i/>
          <w:sz w:val="20"/>
          <w:szCs w:val="20"/>
        </w:rPr>
        <w:t>agreement in RAN1 #85 t</w:t>
      </w:r>
      <w:r w:rsidR="00256B77" w:rsidRPr="00256B77">
        <w:rPr>
          <w:b/>
          <w:i/>
          <w:sz w:val="20"/>
          <w:szCs w:val="20"/>
        </w:rPr>
        <w:t xml:space="preserve">hat requires the transmission of SA and data in the same </w:t>
      </w:r>
      <w:proofErr w:type="spellStart"/>
      <w:r w:rsidR="00256B77" w:rsidRPr="00256B77">
        <w:rPr>
          <w:b/>
          <w:i/>
          <w:sz w:val="20"/>
          <w:szCs w:val="20"/>
        </w:rPr>
        <w:t>subframe</w:t>
      </w:r>
      <w:proofErr w:type="spellEnd"/>
      <w:r w:rsidR="00256B77" w:rsidRPr="00256B77">
        <w:rPr>
          <w:b/>
          <w:i/>
          <w:sz w:val="20"/>
          <w:szCs w:val="20"/>
        </w:rPr>
        <w:t xml:space="preserve"> to be in contiguous frequency.</w:t>
      </w:r>
    </w:p>
    <w:p w:rsidR="00256B77" w:rsidRDefault="00256B77" w:rsidP="00A1738B">
      <w:pPr>
        <w:spacing w:after="0"/>
        <w:jc w:val="both"/>
        <w:rPr>
          <w:rFonts w:eastAsia="Malgun Gothic"/>
          <w:iCs/>
        </w:rPr>
      </w:pPr>
    </w:p>
    <w:p w:rsidR="00A1738B" w:rsidRPr="00A1738B" w:rsidRDefault="00A1738B" w:rsidP="00A1738B">
      <w:pPr>
        <w:spacing w:after="0"/>
        <w:jc w:val="both"/>
        <w:rPr>
          <w:rFonts w:eastAsia="Malgun Gothic"/>
          <w:iCs/>
        </w:rPr>
      </w:pPr>
      <w:r>
        <w:rPr>
          <w:rFonts w:eastAsia="Malgun Gothic"/>
          <w:iCs/>
        </w:rPr>
        <w:t xml:space="preserve">Therefore, we propose to </w:t>
      </w:r>
      <w:proofErr w:type="gramStart"/>
      <w:r>
        <w:rPr>
          <w:rFonts w:eastAsia="Malgun Gothic"/>
          <w:iCs/>
        </w:rPr>
        <w:t>revert</w:t>
      </w:r>
      <w:proofErr w:type="gramEnd"/>
      <w:r>
        <w:rPr>
          <w:rFonts w:eastAsia="Malgun Gothic"/>
          <w:iCs/>
        </w:rPr>
        <w:t xml:space="preserve"> the agreement on the orthogonality of SA and data pools and allow them to overlap, as illustrated in the right part of </w:t>
      </w:r>
      <w:r>
        <w:rPr>
          <w:rFonts w:eastAsia="Malgun Gothic"/>
          <w:iCs/>
        </w:rPr>
        <w:fldChar w:fldCharType="begin"/>
      </w:r>
      <w:r>
        <w:rPr>
          <w:rFonts w:eastAsia="Malgun Gothic"/>
          <w:iCs/>
        </w:rPr>
        <w:instrText xml:space="preserve"> REF _Ref456871027 \h </w:instrText>
      </w:r>
      <w:r>
        <w:rPr>
          <w:rFonts w:eastAsia="Malgun Gothic"/>
          <w:iCs/>
        </w:rPr>
      </w:r>
      <w:r>
        <w:rPr>
          <w:rFonts w:eastAsia="Malgun Gothic"/>
          <w:iCs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="Malgun Gothic"/>
          <w:iCs/>
        </w:rPr>
        <w:fldChar w:fldCharType="end"/>
      </w:r>
      <w:r>
        <w:rPr>
          <w:rFonts w:eastAsia="Malgun Gothic"/>
          <w:iCs/>
        </w:rPr>
        <w:t>.</w:t>
      </w:r>
    </w:p>
    <w:p w:rsidR="007413D6" w:rsidRPr="00EE62F6" w:rsidRDefault="007413D6" w:rsidP="0074575F">
      <w:pPr>
        <w:pStyle w:val="BodyText"/>
        <w:spacing w:after="240"/>
        <w:ind w:left="284"/>
        <w:jc w:val="both"/>
        <w:rPr>
          <w:sz w:val="20"/>
          <w:szCs w:val="20"/>
          <w:lang w:val="en-GB"/>
        </w:rPr>
      </w:pPr>
    </w:p>
    <w:p w:rsidR="005546CF" w:rsidRDefault="00A1738B" w:rsidP="007413D6">
      <w:pPr>
        <w:pStyle w:val="BodyText"/>
        <w:spacing w:after="240"/>
        <w:ind w:left="284"/>
        <w:jc w:val="center"/>
        <w:rPr>
          <w:sz w:val="20"/>
          <w:szCs w:val="20"/>
        </w:rPr>
      </w:pPr>
      <w:r>
        <w:rPr>
          <w:noProof/>
          <w:sz w:val="20"/>
          <w:szCs w:val="20"/>
          <w:lang w:val="sv-SE" w:eastAsia="sv-SE"/>
        </w:rPr>
        <w:drawing>
          <wp:inline distT="0" distB="0" distL="0" distR="0" wp14:anchorId="0E3D0D79" wp14:editId="573A9506">
            <wp:extent cx="6309360" cy="2469752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360" cy="24697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413D6" w:rsidRDefault="007413D6" w:rsidP="007413D6">
      <w:pPr>
        <w:pStyle w:val="Caption"/>
        <w:jc w:val="center"/>
      </w:pPr>
      <w:bookmarkStart w:id="4" w:name="_Ref45687102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>: Wideband transmission when SA and data pools are orthogonal</w:t>
      </w:r>
      <w:r w:rsidR="00A1738B">
        <w:t xml:space="preserve"> (left) and SA and data pools are non-orthogonal (right)</w:t>
      </w:r>
    </w:p>
    <w:p w:rsidR="00B06577" w:rsidRDefault="00B06577" w:rsidP="00B06577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74575F">
        <w:rPr>
          <w:b/>
          <w:i/>
          <w:sz w:val="20"/>
          <w:szCs w:val="20"/>
        </w:rPr>
        <w:t xml:space="preserve">Proposal: </w:t>
      </w:r>
    </w:p>
    <w:p w:rsidR="00B06577" w:rsidRPr="00256B77" w:rsidRDefault="00B06577" w:rsidP="00B06577">
      <w:pPr>
        <w:pStyle w:val="BodyText"/>
        <w:numPr>
          <w:ilvl w:val="0"/>
          <w:numId w:val="9"/>
        </w:numPr>
        <w:jc w:val="both"/>
        <w:rPr>
          <w:b/>
          <w:i/>
          <w:sz w:val="20"/>
          <w:szCs w:val="20"/>
        </w:rPr>
      </w:pPr>
      <w:r w:rsidRPr="00256B77">
        <w:rPr>
          <w:b/>
          <w:i/>
          <w:sz w:val="20"/>
          <w:szCs w:val="20"/>
        </w:rPr>
        <w:t>SA and associated data pools</w:t>
      </w:r>
      <w:r>
        <w:rPr>
          <w:b/>
          <w:i/>
          <w:sz w:val="20"/>
          <w:szCs w:val="20"/>
        </w:rPr>
        <w:t xml:space="preserve"> for V2V over PC5</w:t>
      </w:r>
      <w:r w:rsidRPr="00256B77"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>can</w:t>
      </w:r>
      <w:r w:rsidRPr="00256B77">
        <w:rPr>
          <w:b/>
          <w:i/>
          <w:sz w:val="20"/>
          <w:szCs w:val="20"/>
        </w:rPr>
        <w:t xml:space="preserve"> overlap</w:t>
      </w:r>
    </w:p>
    <w:p w:rsidR="00B06577" w:rsidRPr="00256B77" w:rsidRDefault="00B06577" w:rsidP="00B06577">
      <w:pPr>
        <w:pStyle w:val="BodyText"/>
        <w:numPr>
          <w:ilvl w:val="1"/>
          <w:numId w:val="8"/>
        </w:numPr>
        <w:jc w:val="both"/>
        <w:rPr>
          <w:rFonts w:eastAsia="MS Mincho"/>
          <w:b/>
          <w:i/>
          <w:sz w:val="20"/>
          <w:szCs w:val="20"/>
          <w:lang w:eastAsia="ja-JP"/>
        </w:rPr>
      </w:pPr>
      <w:r w:rsidRPr="00256B77">
        <w:rPr>
          <w:rFonts w:eastAsia="MS Mincho"/>
          <w:b/>
          <w:i/>
          <w:sz w:val="20"/>
          <w:szCs w:val="20"/>
          <w:lang w:eastAsia="ja-JP"/>
        </w:rPr>
        <w:t>Revert agreement (RAN1#84bis) “An RB of an SA pool in a TTI cannot be included in the associated data pool.”</w:t>
      </w:r>
    </w:p>
    <w:p w:rsidR="0074575F" w:rsidRPr="0074575F" w:rsidRDefault="0074575F" w:rsidP="007D05D7">
      <w:pPr>
        <w:spacing w:after="0"/>
        <w:rPr>
          <w:rFonts w:eastAsia="MS Mincho"/>
          <w:b/>
          <w:i/>
          <w:lang w:val="en-US" w:eastAsia="ja-JP"/>
        </w:rPr>
      </w:pPr>
    </w:p>
    <w:p w:rsidR="00D0339F" w:rsidRPr="00744368" w:rsidRDefault="00D0339F" w:rsidP="00D0339F">
      <w:pPr>
        <w:pStyle w:val="Heading1"/>
      </w:pPr>
      <w:r w:rsidRPr="00744368">
        <w:t>Conclusion</w:t>
      </w:r>
      <w:r w:rsidR="00A11B11" w:rsidRPr="00744368">
        <w:t xml:space="preserve"> </w:t>
      </w:r>
      <w:bookmarkStart w:id="5" w:name="_GoBack"/>
      <w:bookmarkEnd w:id="5"/>
    </w:p>
    <w:p w:rsidR="003F68D5" w:rsidRPr="008B7148" w:rsidRDefault="00A90703" w:rsidP="00A90703">
      <w:pPr>
        <w:pStyle w:val="BodyText"/>
        <w:spacing w:after="240"/>
        <w:jc w:val="both"/>
        <w:rPr>
          <w:spacing w:val="2"/>
          <w:sz w:val="20"/>
          <w:szCs w:val="20"/>
        </w:rPr>
      </w:pPr>
      <w:r w:rsidRPr="008B7148">
        <w:rPr>
          <w:spacing w:val="2"/>
          <w:sz w:val="20"/>
          <w:szCs w:val="20"/>
        </w:rPr>
        <w:t>In this contribution we discuss</w:t>
      </w:r>
      <w:r w:rsidR="00964B52" w:rsidRPr="008B7148">
        <w:rPr>
          <w:spacing w:val="2"/>
          <w:sz w:val="20"/>
          <w:szCs w:val="20"/>
        </w:rPr>
        <w:t>ed</w:t>
      </w:r>
      <w:r w:rsidRPr="008B7148">
        <w:rPr>
          <w:spacing w:val="2"/>
          <w:sz w:val="20"/>
          <w:szCs w:val="20"/>
        </w:rPr>
        <w:t xml:space="preserve"> </w:t>
      </w:r>
      <w:r w:rsidR="000C1A3B" w:rsidRPr="008B7148">
        <w:rPr>
          <w:spacing w:val="2"/>
          <w:sz w:val="20"/>
          <w:szCs w:val="20"/>
        </w:rPr>
        <w:t>contents of PSCCH for V2X</w:t>
      </w:r>
      <w:r w:rsidR="004D5559" w:rsidRPr="008B7148">
        <w:rPr>
          <w:spacing w:val="2"/>
          <w:sz w:val="20"/>
          <w:szCs w:val="20"/>
        </w:rPr>
        <w:t xml:space="preserve"> over PC5</w:t>
      </w:r>
      <w:r w:rsidR="000C1A3B" w:rsidRPr="008B7148">
        <w:rPr>
          <w:spacing w:val="2"/>
          <w:sz w:val="20"/>
          <w:szCs w:val="20"/>
        </w:rPr>
        <w:t xml:space="preserve">. </w:t>
      </w:r>
    </w:p>
    <w:p w:rsidR="00256B77" w:rsidRDefault="00B7200F" w:rsidP="00B7200F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74575F">
        <w:rPr>
          <w:b/>
          <w:i/>
          <w:sz w:val="20"/>
          <w:szCs w:val="20"/>
        </w:rPr>
        <w:t xml:space="preserve">Proposal: </w:t>
      </w:r>
    </w:p>
    <w:p w:rsidR="00B06577" w:rsidRPr="00256B77" w:rsidRDefault="00B06577" w:rsidP="00B06577">
      <w:pPr>
        <w:pStyle w:val="BodyText"/>
        <w:numPr>
          <w:ilvl w:val="0"/>
          <w:numId w:val="9"/>
        </w:numPr>
        <w:jc w:val="both"/>
        <w:rPr>
          <w:b/>
          <w:i/>
          <w:sz w:val="20"/>
          <w:szCs w:val="20"/>
        </w:rPr>
      </w:pPr>
      <w:r w:rsidRPr="00256B77">
        <w:rPr>
          <w:b/>
          <w:i/>
          <w:sz w:val="20"/>
          <w:szCs w:val="20"/>
        </w:rPr>
        <w:t>SA and associated data pools</w:t>
      </w:r>
      <w:r>
        <w:rPr>
          <w:b/>
          <w:i/>
          <w:sz w:val="20"/>
          <w:szCs w:val="20"/>
        </w:rPr>
        <w:t xml:space="preserve"> for V2V over PC5</w:t>
      </w:r>
      <w:r w:rsidRPr="00256B77"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>can</w:t>
      </w:r>
      <w:r w:rsidRPr="00256B77">
        <w:rPr>
          <w:b/>
          <w:i/>
          <w:sz w:val="20"/>
          <w:szCs w:val="20"/>
        </w:rPr>
        <w:t xml:space="preserve"> overlap</w:t>
      </w:r>
    </w:p>
    <w:p w:rsidR="00893BC9" w:rsidRPr="00256B77" w:rsidRDefault="002D17E4" w:rsidP="00256B77">
      <w:pPr>
        <w:pStyle w:val="BodyText"/>
        <w:numPr>
          <w:ilvl w:val="1"/>
          <w:numId w:val="8"/>
        </w:numPr>
        <w:jc w:val="both"/>
        <w:rPr>
          <w:rFonts w:eastAsia="MS Mincho"/>
          <w:b/>
          <w:i/>
          <w:sz w:val="20"/>
          <w:szCs w:val="20"/>
          <w:lang w:eastAsia="ja-JP"/>
        </w:rPr>
      </w:pPr>
      <w:r w:rsidRPr="00256B77">
        <w:rPr>
          <w:rFonts w:eastAsia="MS Mincho"/>
          <w:b/>
          <w:i/>
          <w:sz w:val="20"/>
          <w:szCs w:val="20"/>
          <w:lang w:eastAsia="ja-JP"/>
        </w:rPr>
        <w:t>Revert agreement (RAN1#84bis) “An RB of an SA pool in a TTI cannot be included in the associated data pool.”</w:t>
      </w:r>
    </w:p>
    <w:p w:rsidR="00256B77" w:rsidRDefault="00256B77" w:rsidP="00B7200F">
      <w:pPr>
        <w:pStyle w:val="BodyText"/>
        <w:spacing w:after="240"/>
        <w:jc w:val="both"/>
        <w:rPr>
          <w:b/>
          <w:i/>
          <w:sz w:val="20"/>
          <w:szCs w:val="20"/>
        </w:rPr>
      </w:pPr>
    </w:p>
    <w:sectPr w:rsidR="00256B77" w:rsidSect="004B31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773" w:rsidRDefault="00594773">
      <w:r>
        <w:separator/>
      </w:r>
    </w:p>
  </w:endnote>
  <w:endnote w:type="continuationSeparator" w:id="0">
    <w:p w:rsidR="00594773" w:rsidRDefault="00594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773" w:rsidRDefault="00594773">
      <w:r>
        <w:separator/>
      </w:r>
    </w:p>
  </w:footnote>
  <w:footnote w:type="continuationSeparator" w:id="0">
    <w:p w:rsidR="00594773" w:rsidRDefault="005947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7BC357B"/>
    <w:multiLevelType w:val="hybridMultilevel"/>
    <w:tmpl w:val="C2B0903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2391399F"/>
    <w:multiLevelType w:val="hybridMultilevel"/>
    <w:tmpl w:val="7608A36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7274996"/>
    <w:multiLevelType w:val="hybridMultilevel"/>
    <w:tmpl w:val="8B9EBBF6"/>
    <w:lvl w:ilvl="0" w:tplc="7D4E87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20A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FEDB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34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AD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926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78CC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AB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6C6C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2531A25"/>
    <w:multiLevelType w:val="hybridMultilevel"/>
    <w:tmpl w:val="6E58B7E6"/>
    <w:lvl w:ilvl="0" w:tplc="FE9077E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>
    <w:nsid w:val="4DA74032"/>
    <w:multiLevelType w:val="hybridMultilevel"/>
    <w:tmpl w:val="DAD22D80"/>
    <w:lvl w:ilvl="0" w:tplc="EC32C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AC3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F28E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AAF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E06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24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3C7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0A3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4D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>
    <w:nsid w:val="5C6D0E5B"/>
    <w:multiLevelType w:val="hybridMultilevel"/>
    <w:tmpl w:val="61E055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A9E0360"/>
    <w:multiLevelType w:val="hybridMultilevel"/>
    <w:tmpl w:val="546054B6"/>
    <w:lvl w:ilvl="0" w:tplc="1E422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74B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6B4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A8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86D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C69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0C8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5A4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5AD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5">
    <w:nsid w:val="7D614211"/>
    <w:multiLevelType w:val="hybridMultilevel"/>
    <w:tmpl w:val="51A805D0"/>
    <w:lvl w:ilvl="0" w:tplc="182497A6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5"/>
  </w:num>
  <w:num w:numId="5">
    <w:abstractNumId w:val="7"/>
  </w:num>
  <w:num w:numId="6">
    <w:abstractNumId w:val="14"/>
  </w:num>
  <w:num w:numId="7">
    <w:abstractNumId w:val="12"/>
  </w:num>
  <w:num w:numId="8">
    <w:abstractNumId w:val="15"/>
  </w:num>
  <w:num w:numId="9">
    <w:abstractNumId w:val="1"/>
  </w:num>
  <w:num w:numId="10">
    <w:abstractNumId w:val="6"/>
  </w:num>
  <w:num w:numId="11">
    <w:abstractNumId w:val="9"/>
  </w:num>
  <w:num w:numId="12">
    <w:abstractNumId w:val="2"/>
  </w:num>
  <w:num w:numId="13">
    <w:abstractNumId w:val="4"/>
  </w:num>
  <w:num w:numId="14">
    <w:abstractNumId w:val="3"/>
  </w:num>
  <w:num w:numId="15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645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7B2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8FD"/>
    <w:rsid w:val="00050934"/>
    <w:rsid w:val="00051040"/>
    <w:rsid w:val="00051134"/>
    <w:rsid w:val="00051DA3"/>
    <w:rsid w:val="00052154"/>
    <w:rsid w:val="00052AE8"/>
    <w:rsid w:val="00052B1B"/>
    <w:rsid w:val="00052D7A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247"/>
    <w:rsid w:val="000618B4"/>
    <w:rsid w:val="000618C0"/>
    <w:rsid w:val="00061989"/>
    <w:rsid w:val="000620D3"/>
    <w:rsid w:val="00062906"/>
    <w:rsid w:val="00062CD5"/>
    <w:rsid w:val="00062E6A"/>
    <w:rsid w:val="0006341C"/>
    <w:rsid w:val="00063821"/>
    <w:rsid w:val="000638E6"/>
    <w:rsid w:val="000639C9"/>
    <w:rsid w:val="00063CB4"/>
    <w:rsid w:val="00063FE0"/>
    <w:rsid w:val="0006418F"/>
    <w:rsid w:val="000652BD"/>
    <w:rsid w:val="000658C8"/>
    <w:rsid w:val="00066119"/>
    <w:rsid w:val="00066208"/>
    <w:rsid w:val="000663D0"/>
    <w:rsid w:val="00066807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8C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02"/>
    <w:rsid w:val="0009074E"/>
    <w:rsid w:val="00090A5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12E"/>
    <w:rsid w:val="000A3788"/>
    <w:rsid w:val="000A3A03"/>
    <w:rsid w:val="000A3C41"/>
    <w:rsid w:val="000A44CD"/>
    <w:rsid w:val="000A47FC"/>
    <w:rsid w:val="000A4FB2"/>
    <w:rsid w:val="000A5435"/>
    <w:rsid w:val="000A5459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00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0DC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38E6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828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C9C"/>
    <w:rsid w:val="00144ECD"/>
    <w:rsid w:val="001451E4"/>
    <w:rsid w:val="0014530D"/>
    <w:rsid w:val="0014548F"/>
    <w:rsid w:val="001454A2"/>
    <w:rsid w:val="001454FE"/>
    <w:rsid w:val="001459D7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0E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7E5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2C47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520"/>
    <w:rsid w:val="0018756D"/>
    <w:rsid w:val="0018758B"/>
    <w:rsid w:val="0019044D"/>
    <w:rsid w:val="00191557"/>
    <w:rsid w:val="00191B39"/>
    <w:rsid w:val="00191CC9"/>
    <w:rsid w:val="001926C7"/>
    <w:rsid w:val="00192F0D"/>
    <w:rsid w:val="00193550"/>
    <w:rsid w:val="00193802"/>
    <w:rsid w:val="00193D0E"/>
    <w:rsid w:val="00193D8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4C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5C41"/>
    <w:rsid w:val="001B6316"/>
    <w:rsid w:val="001B6851"/>
    <w:rsid w:val="001B6BA3"/>
    <w:rsid w:val="001B7361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2A5A"/>
    <w:rsid w:val="001C33A7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973"/>
    <w:rsid w:val="001E0A8C"/>
    <w:rsid w:val="001E10C7"/>
    <w:rsid w:val="001E1482"/>
    <w:rsid w:val="001E1880"/>
    <w:rsid w:val="001E19B6"/>
    <w:rsid w:val="001E1E1A"/>
    <w:rsid w:val="001E2151"/>
    <w:rsid w:val="001E3105"/>
    <w:rsid w:val="001E396A"/>
    <w:rsid w:val="001E3B24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52B"/>
    <w:rsid w:val="001F3753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0A"/>
    <w:rsid w:val="002071A8"/>
    <w:rsid w:val="00207799"/>
    <w:rsid w:val="002078CB"/>
    <w:rsid w:val="0021002B"/>
    <w:rsid w:val="00210338"/>
    <w:rsid w:val="0021170A"/>
    <w:rsid w:val="00211E2A"/>
    <w:rsid w:val="00211EF3"/>
    <w:rsid w:val="00212AEC"/>
    <w:rsid w:val="00213966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B32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CA3"/>
    <w:rsid w:val="00226DDB"/>
    <w:rsid w:val="002273ED"/>
    <w:rsid w:val="002277CB"/>
    <w:rsid w:val="002279B8"/>
    <w:rsid w:val="00227FC4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30A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6B77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507"/>
    <w:rsid w:val="00283CB9"/>
    <w:rsid w:val="0028409F"/>
    <w:rsid w:val="00284161"/>
    <w:rsid w:val="00284974"/>
    <w:rsid w:val="00284A2B"/>
    <w:rsid w:val="00284B06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97A6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1BA6"/>
    <w:rsid w:val="002B2172"/>
    <w:rsid w:val="002B2482"/>
    <w:rsid w:val="002B2636"/>
    <w:rsid w:val="002B264A"/>
    <w:rsid w:val="002B2961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7E4"/>
    <w:rsid w:val="002D19AD"/>
    <w:rsid w:val="002D1C8B"/>
    <w:rsid w:val="002D1E93"/>
    <w:rsid w:val="002D220A"/>
    <w:rsid w:val="002D22CE"/>
    <w:rsid w:val="002D2485"/>
    <w:rsid w:val="002D2A02"/>
    <w:rsid w:val="002D2B7D"/>
    <w:rsid w:val="002D3255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3FD7"/>
    <w:rsid w:val="003042D9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3FC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218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093"/>
    <w:rsid w:val="00315B37"/>
    <w:rsid w:val="00315DAF"/>
    <w:rsid w:val="003164A4"/>
    <w:rsid w:val="003168F4"/>
    <w:rsid w:val="00316C41"/>
    <w:rsid w:val="00317161"/>
    <w:rsid w:val="00317560"/>
    <w:rsid w:val="00317651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6A89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6EE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5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6F7C"/>
    <w:rsid w:val="004070E6"/>
    <w:rsid w:val="00407532"/>
    <w:rsid w:val="00407552"/>
    <w:rsid w:val="004077C5"/>
    <w:rsid w:val="0040781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1B8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6EB"/>
    <w:rsid w:val="004207A2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423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2FE6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0FCD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298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559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D7FDF"/>
    <w:rsid w:val="004E06AF"/>
    <w:rsid w:val="004E06F9"/>
    <w:rsid w:val="004E0A10"/>
    <w:rsid w:val="004E11DA"/>
    <w:rsid w:val="004E1512"/>
    <w:rsid w:val="004E24F1"/>
    <w:rsid w:val="004E288E"/>
    <w:rsid w:val="004E2B41"/>
    <w:rsid w:val="004E2D7B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1AA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C01"/>
    <w:rsid w:val="0051110C"/>
    <w:rsid w:val="00511689"/>
    <w:rsid w:val="005119A8"/>
    <w:rsid w:val="00511CDF"/>
    <w:rsid w:val="0051225F"/>
    <w:rsid w:val="00512528"/>
    <w:rsid w:val="005129E7"/>
    <w:rsid w:val="00512C2A"/>
    <w:rsid w:val="005131E8"/>
    <w:rsid w:val="00513786"/>
    <w:rsid w:val="005138D0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22F"/>
    <w:rsid w:val="00527814"/>
    <w:rsid w:val="00527EFF"/>
    <w:rsid w:val="00531351"/>
    <w:rsid w:val="005314BE"/>
    <w:rsid w:val="005316DD"/>
    <w:rsid w:val="00531C10"/>
    <w:rsid w:val="00531D66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6CF"/>
    <w:rsid w:val="005549FD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318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9E7"/>
    <w:rsid w:val="00591BCE"/>
    <w:rsid w:val="00591FCC"/>
    <w:rsid w:val="00592850"/>
    <w:rsid w:val="00592B95"/>
    <w:rsid w:val="00592D89"/>
    <w:rsid w:val="00593101"/>
    <w:rsid w:val="005939B1"/>
    <w:rsid w:val="00593B6E"/>
    <w:rsid w:val="005940C8"/>
    <w:rsid w:val="00594773"/>
    <w:rsid w:val="00594796"/>
    <w:rsid w:val="00594808"/>
    <w:rsid w:val="00594ED4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878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725"/>
    <w:rsid w:val="005D7923"/>
    <w:rsid w:val="005E01CB"/>
    <w:rsid w:val="005E0497"/>
    <w:rsid w:val="005E0532"/>
    <w:rsid w:val="005E0E7C"/>
    <w:rsid w:val="005E0E99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0F0A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0604"/>
    <w:rsid w:val="00600C6E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00E"/>
    <w:rsid w:val="00634151"/>
    <w:rsid w:val="006343EA"/>
    <w:rsid w:val="00634B0E"/>
    <w:rsid w:val="00634BC3"/>
    <w:rsid w:val="0063520F"/>
    <w:rsid w:val="00635289"/>
    <w:rsid w:val="0063558F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6DC5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C62"/>
    <w:rsid w:val="00660E41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880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79F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2E72"/>
    <w:rsid w:val="00683128"/>
    <w:rsid w:val="0068329B"/>
    <w:rsid w:val="0068380E"/>
    <w:rsid w:val="00684088"/>
    <w:rsid w:val="006844B3"/>
    <w:rsid w:val="00684A15"/>
    <w:rsid w:val="00684D41"/>
    <w:rsid w:val="006862F0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1CF7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DA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581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1CD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0F"/>
    <w:rsid w:val="006F0EB6"/>
    <w:rsid w:val="006F1086"/>
    <w:rsid w:val="006F115A"/>
    <w:rsid w:val="006F1C64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13D6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75F"/>
    <w:rsid w:val="00745EA1"/>
    <w:rsid w:val="00746340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17BA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61A2"/>
    <w:rsid w:val="0075662D"/>
    <w:rsid w:val="0075671A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4E0A"/>
    <w:rsid w:val="00765288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F04"/>
    <w:rsid w:val="00773419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11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5D7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3FF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7B5F"/>
    <w:rsid w:val="0082089E"/>
    <w:rsid w:val="00820C32"/>
    <w:rsid w:val="00820D5F"/>
    <w:rsid w:val="00820DC2"/>
    <w:rsid w:val="00820E81"/>
    <w:rsid w:val="00821F20"/>
    <w:rsid w:val="008221BA"/>
    <w:rsid w:val="00822A0F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255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ED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85"/>
    <w:rsid w:val="008463AC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1725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6F0E"/>
    <w:rsid w:val="00877019"/>
    <w:rsid w:val="008771D9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5C99"/>
    <w:rsid w:val="00886396"/>
    <w:rsid w:val="00887073"/>
    <w:rsid w:val="008870AB"/>
    <w:rsid w:val="008872FC"/>
    <w:rsid w:val="00887496"/>
    <w:rsid w:val="0088758B"/>
    <w:rsid w:val="00887A63"/>
    <w:rsid w:val="0089073D"/>
    <w:rsid w:val="0089087F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42D"/>
    <w:rsid w:val="0089353B"/>
    <w:rsid w:val="00893BC9"/>
    <w:rsid w:val="00893C84"/>
    <w:rsid w:val="008941F0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EA7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2CE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A5D"/>
    <w:rsid w:val="008B7148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00C"/>
    <w:rsid w:val="008C4344"/>
    <w:rsid w:val="008C43D7"/>
    <w:rsid w:val="008C477C"/>
    <w:rsid w:val="008C4C35"/>
    <w:rsid w:val="008C4DBF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0C7C"/>
    <w:rsid w:val="008D13EC"/>
    <w:rsid w:val="008D1581"/>
    <w:rsid w:val="008D1654"/>
    <w:rsid w:val="008D1809"/>
    <w:rsid w:val="008D1972"/>
    <w:rsid w:val="008D21F4"/>
    <w:rsid w:val="008D26C7"/>
    <w:rsid w:val="008D2729"/>
    <w:rsid w:val="008D3962"/>
    <w:rsid w:val="008D3F68"/>
    <w:rsid w:val="008D41A6"/>
    <w:rsid w:val="008D4224"/>
    <w:rsid w:val="008D43DC"/>
    <w:rsid w:val="008D508B"/>
    <w:rsid w:val="008D53A7"/>
    <w:rsid w:val="008D54A8"/>
    <w:rsid w:val="008D54E8"/>
    <w:rsid w:val="008D55B2"/>
    <w:rsid w:val="008D6FB9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B59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D3A"/>
    <w:rsid w:val="008F3053"/>
    <w:rsid w:val="008F3C23"/>
    <w:rsid w:val="008F3D84"/>
    <w:rsid w:val="008F3FA0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4525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EDE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0EA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508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B52"/>
    <w:rsid w:val="00964F63"/>
    <w:rsid w:val="00965175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16F0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666"/>
    <w:rsid w:val="0097595B"/>
    <w:rsid w:val="00975C0E"/>
    <w:rsid w:val="00975C6D"/>
    <w:rsid w:val="00975E60"/>
    <w:rsid w:val="00975F44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75C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083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6FF5"/>
    <w:rsid w:val="009B72F9"/>
    <w:rsid w:val="009B77D4"/>
    <w:rsid w:val="009B7946"/>
    <w:rsid w:val="009C0161"/>
    <w:rsid w:val="009C0229"/>
    <w:rsid w:val="009C022C"/>
    <w:rsid w:val="009C02D2"/>
    <w:rsid w:val="009C034D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F0F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932"/>
    <w:rsid w:val="009E1947"/>
    <w:rsid w:val="009E1BC3"/>
    <w:rsid w:val="009E2091"/>
    <w:rsid w:val="009E267D"/>
    <w:rsid w:val="009E2D8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0507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BDB"/>
    <w:rsid w:val="00A12D46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38B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0D7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CE1"/>
    <w:rsid w:val="00A95078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23C"/>
    <w:rsid w:val="00AB6B75"/>
    <w:rsid w:val="00AB6EC1"/>
    <w:rsid w:val="00AB7147"/>
    <w:rsid w:val="00AB7426"/>
    <w:rsid w:val="00AB777B"/>
    <w:rsid w:val="00AB79E0"/>
    <w:rsid w:val="00AB7CC2"/>
    <w:rsid w:val="00AC103E"/>
    <w:rsid w:val="00AC10E3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743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8A4"/>
    <w:rsid w:val="00AD4CB3"/>
    <w:rsid w:val="00AD4D87"/>
    <w:rsid w:val="00AD5BEA"/>
    <w:rsid w:val="00AD5C3E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56FC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4E7"/>
    <w:rsid w:val="00B00521"/>
    <w:rsid w:val="00B0088E"/>
    <w:rsid w:val="00B00C33"/>
    <w:rsid w:val="00B011C5"/>
    <w:rsid w:val="00B01414"/>
    <w:rsid w:val="00B0163E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577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47F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D43"/>
    <w:rsid w:val="00B41AE9"/>
    <w:rsid w:val="00B41E60"/>
    <w:rsid w:val="00B42623"/>
    <w:rsid w:val="00B4269A"/>
    <w:rsid w:val="00B42A95"/>
    <w:rsid w:val="00B42CA1"/>
    <w:rsid w:val="00B431A2"/>
    <w:rsid w:val="00B43213"/>
    <w:rsid w:val="00B435E1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676"/>
    <w:rsid w:val="00B54D02"/>
    <w:rsid w:val="00B54E77"/>
    <w:rsid w:val="00B5507D"/>
    <w:rsid w:val="00B551BF"/>
    <w:rsid w:val="00B55C17"/>
    <w:rsid w:val="00B56A64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0F"/>
    <w:rsid w:val="00B72018"/>
    <w:rsid w:val="00B721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8CA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294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51A8"/>
    <w:rsid w:val="00BE5228"/>
    <w:rsid w:val="00BE5291"/>
    <w:rsid w:val="00BE543A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95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22E7"/>
    <w:rsid w:val="00C3264B"/>
    <w:rsid w:val="00C3287A"/>
    <w:rsid w:val="00C32A5C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D5B"/>
    <w:rsid w:val="00C5321E"/>
    <w:rsid w:val="00C5463F"/>
    <w:rsid w:val="00C54B9A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1E0B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1AD"/>
    <w:rsid w:val="00CB4622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D4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657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BE0"/>
    <w:rsid w:val="00D55EAC"/>
    <w:rsid w:val="00D55EEC"/>
    <w:rsid w:val="00D5603E"/>
    <w:rsid w:val="00D563CE"/>
    <w:rsid w:val="00D563D2"/>
    <w:rsid w:val="00D566BD"/>
    <w:rsid w:val="00D56CAA"/>
    <w:rsid w:val="00D56DA7"/>
    <w:rsid w:val="00D56DF9"/>
    <w:rsid w:val="00D56E60"/>
    <w:rsid w:val="00D57297"/>
    <w:rsid w:val="00D57905"/>
    <w:rsid w:val="00D57F67"/>
    <w:rsid w:val="00D602B5"/>
    <w:rsid w:val="00D602FB"/>
    <w:rsid w:val="00D604C1"/>
    <w:rsid w:val="00D6074B"/>
    <w:rsid w:val="00D60CCE"/>
    <w:rsid w:val="00D60E30"/>
    <w:rsid w:val="00D60E98"/>
    <w:rsid w:val="00D6161F"/>
    <w:rsid w:val="00D61C10"/>
    <w:rsid w:val="00D61E7D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2F68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760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7C"/>
    <w:rsid w:val="00D936E5"/>
    <w:rsid w:val="00D938F8"/>
    <w:rsid w:val="00D93D8B"/>
    <w:rsid w:val="00D93EC2"/>
    <w:rsid w:val="00D94107"/>
    <w:rsid w:val="00D9420C"/>
    <w:rsid w:val="00D94932"/>
    <w:rsid w:val="00D94A5B"/>
    <w:rsid w:val="00D95A38"/>
    <w:rsid w:val="00D96B79"/>
    <w:rsid w:val="00D96F29"/>
    <w:rsid w:val="00D9742F"/>
    <w:rsid w:val="00D97AA5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3B44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406C"/>
    <w:rsid w:val="00DC4112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3E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99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005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8B1"/>
    <w:rsid w:val="00E40C67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01"/>
    <w:rsid w:val="00E56071"/>
    <w:rsid w:val="00E560DB"/>
    <w:rsid w:val="00E5632D"/>
    <w:rsid w:val="00E56464"/>
    <w:rsid w:val="00E5663C"/>
    <w:rsid w:val="00E566F2"/>
    <w:rsid w:val="00E56783"/>
    <w:rsid w:val="00E56DB8"/>
    <w:rsid w:val="00E57BB3"/>
    <w:rsid w:val="00E60990"/>
    <w:rsid w:val="00E60A3C"/>
    <w:rsid w:val="00E60DEC"/>
    <w:rsid w:val="00E6132B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736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4D9"/>
    <w:rsid w:val="00E91CD0"/>
    <w:rsid w:val="00E9202E"/>
    <w:rsid w:val="00E92694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D05FB"/>
    <w:rsid w:val="00ED16A1"/>
    <w:rsid w:val="00ED19BE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B9B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535"/>
    <w:rsid w:val="00EE574F"/>
    <w:rsid w:val="00EE5F5E"/>
    <w:rsid w:val="00EE62F6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5E31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680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375"/>
    <w:rsid w:val="00F464DC"/>
    <w:rsid w:val="00F46A5F"/>
    <w:rsid w:val="00F47003"/>
    <w:rsid w:val="00F470C5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251"/>
    <w:rsid w:val="00F56C19"/>
    <w:rsid w:val="00F56F20"/>
    <w:rsid w:val="00F57BD5"/>
    <w:rsid w:val="00F57CA1"/>
    <w:rsid w:val="00F57CC4"/>
    <w:rsid w:val="00F600F5"/>
    <w:rsid w:val="00F60366"/>
    <w:rsid w:val="00F604A4"/>
    <w:rsid w:val="00F61F7A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223"/>
    <w:rsid w:val="00F642E6"/>
    <w:rsid w:val="00F642F3"/>
    <w:rsid w:val="00F64389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4F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566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DF7"/>
    <w:rsid w:val="00F96BB9"/>
    <w:rsid w:val="00F96ED7"/>
    <w:rsid w:val="00F972AA"/>
    <w:rsid w:val="00F974FB"/>
    <w:rsid w:val="00FA0599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BEA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45B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A1F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964B52"/>
    <w:rPr>
      <w:color w:val="808080"/>
    </w:rPr>
  </w:style>
  <w:style w:type="paragraph" w:customStyle="1" w:styleId="LGTdoc">
    <w:name w:val="LGTdoc_본문"/>
    <w:basedOn w:val="Normal"/>
    <w:rsid w:val="00D9367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964B52"/>
    <w:rPr>
      <w:color w:val="808080"/>
    </w:rPr>
  </w:style>
  <w:style w:type="paragraph" w:customStyle="1" w:styleId="LGTdoc">
    <w:name w:val="LGTdoc_본문"/>
    <w:basedOn w:val="Normal"/>
    <w:rsid w:val="00D9367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522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4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2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65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EE708-A956-4364-8CCE-A11142C4A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643</Words>
  <Characters>3408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2016-02-02T11:59:00Z</dcterms:created>
  <dcterms:modified xsi:type="dcterms:W3CDTF">2016-08-12T13:57:00Z</dcterms:modified>
</cp:coreProperties>
</file>